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99" w:rsidRPr="00E941FB" w:rsidRDefault="007507C3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Western</w:t>
      </w:r>
      <w:r w:rsidR="00CF7058">
        <w:rPr>
          <w:b/>
          <w:sz w:val="22"/>
          <w:szCs w:val="22"/>
        </w:rPr>
        <w:t xml:space="preserve"> Piedmont</w:t>
      </w:r>
      <w:r w:rsidR="00B57099" w:rsidRPr="00E941FB">
        <w:rPr>
          <w:b/>
          <w:sz w:val="22"/>
          <w:szCs w:val="22"/>
        </w:rPr>
        <w:t xml:space="preserve"> Community College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B57099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A0547B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B57099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1859"/>
        <w:gridCol w:w="4151"/>
        <w:gridCol w:w="1398"/>
      </w:tblGrid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398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r w:rsidRPr="00E941FB">
              <w:rPr>
                <w:sz w:val="22"/>
                <w:szCs w:val="22"/>
              </w:rPr>
              <w:t xml:space="preserve">HOR 162 (3) - Applied Plant Science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r w:rsidRPr="00E941FB">
              <w:rPr>
                <w:sz w:val="22"/>
                <w:szCs w:val="22"/>
              </w:rPr>
              <w:t xml:space="preserve">HOR 168 (3) - Plant Propagation 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398" w:type="dxa"/>
          </w:tcPr>
          <w:p w:rsidR="00B57099" w:rsidRPr="00167B76" w:rsidRDefault="00B57099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COMM 110 – Introduction to Communication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c>
          <w:tcPr>
            <w:tcW w:w="3140" w:type="dxa"/>
          </w:tcPr>
          <w:p w:rsidR="00B57099" w:rsidRDefault="00B57099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Free Elective</w:t>
            </w:r>
          </w:p>
        </w:tc>
        <w:tc>
          <w:tcPr>
            <w:tcW w:w="0" w:type="auto"/>
          </w:tcPr>
          <w:p w:rsidR="00B57099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57099" w:rsidRPr="00EE7D91" w:rsidRDefault="00B57099" w:rsidP="003210DA">
            <w:r>
              <w:rPr>
                <w:sz w:val="22"/>
                <w:szCs w:val="22"/>
              </w:rPr>
              <w:t>Free Elective</w:t>
            </w:r>
          </w:p>
        </w:tc>
        <w:tc>
          <w:tcPr>
            <w:tcW w:w="1398" w:type="dxa"/>
          </w:tcPr>
          <w:p w:rsidR="00B57099" w:rsidRDefault="00B57099" w:rsidP="003210DA">
            <w:pPr>
              <w:jc w:val="center"/>
            </w:pPr>
            <w:r>
              <w:t>2</w:t>
            </w:r>
          </w:p>
        </w:tc>
      </w:tr>
      <w:tr w:rsidR="00CF7058" w:rsidRPr="00E941FB" w:rsidTr="003210DA">
        <w:tc>
          <w:tcPr>
            <w:tcW w:w="3140" w:type="dxa"/>
          </w:tcPr>
          <w:p w:rsidR="00CF7058" w:rsidRDefault="00CF7058" w:rsidP="00ED41E1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11</w:t>
            </w:r>
            <w:r w:rsidR="00ED41E1">
              <w:rPr>
                <w:sz w:val="22"/>
                <w:szCs w:val="22"/>
              </w:rPr>
              <w:t>0</w:t>
            </w:r>
            <w:r w:rsidR="00333464">
              <w:rPr>
                <w:sz w:val="22"/>
                <w:szCs w:val="22"/>
              </w:rPr>
              <w:t>/C</w:t>
            </w:r>
            <w:r w:rsidR="00ED41E1">
              <w:rPr>
                <w:sz w:val="22"/>
                <w:szCs w:val="22"/>
              </w:rPr>
              <w:t>IS 111</w:t>
            </w:r>
          </w:p>
        </w:tc>
        <w:tc>
          <w:tcPr>
            <w:tcW w:w="0" w:type="auto"/>
          </w:tcPr>
          <w:p w:rsidR="00CF7058" w:rsidRDefault="00ED41E1" w:rsidP="00ED41E1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346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F7058" w:rsidRDefault="00CF7058" w:rsidP="00321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CUIN 101 – Instructional Technology </w:t>
            </w:r>
          </w:p>
        </w:tc>
        <w:tc>
          <w:tcPr>
            <w:tcW w:w="1398" w:type="dxa"/>
          </w:tcPr>
          <w:p w:rsidR="00CF7058" w:rsidRDefault="00333464" w:rsidP="003210DA">
            <w:pPr>
              <w:jc w:val="center"/>
            </w:pPr>
            <w:r>
              <w:t>2</w:t>
            </w:r>
          </w:p>
        </w:tc>
      </w:tr>
      <w:tr w:rsidR="00583857" w:rsidRPr="00E941FB" w:rsidTr="003210DA">
        <w:tc>
          <w:tcPr>
            <w:tcW w:w="3140" w:type="dxa"/>
          </w:tcPr>
          <w:p w:rsidR="00583857" w:rsidRDefault="00583857" w:rsidP="00ED41E1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140 – Survey of Mathematics</w:t>
            </w:r>
          </w:p>
        </w:tc>
        <w:tc>
          <w:tcPr>
            <w:tcW w:w="0" w:type="auto"/>
          </w:tcPr>
          <w:p w:rsidR="00583857" w:rsidRDefault="00583857" w:rsidP="00ED41E1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83857" w:rsidRDefault="00583857" w:rsidP="00321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Elective </w:t>
            </w:r>
          </w:p>
        </w:tc>
        <w:tc>
          <w:tcPr>
            <w:tcW w:w="1398" w:type="dxa"/>
          </w:tcPr>
          <w:p w:rsidR="00583857" w:rsidRDefault="00583857" w:rsidP="003210DA">
            <w:pPr>
              <w:jc w:val="center"/>
            </w:pPr>
            <w:r>
              <w:t>3</w:t>
            </w:r>
          </w:p>
        </w:tc>
      </w:tr>
      <w:tr w:rsidR="00DD1BF4" w:rsidRPr="00E941FB" w:rsidTr="003210DA">
        <w:tc>
          <w:tcPr>
            <w:tcW w:w="3140" w:type="dxa"/>
          </w:tcPr>
          <w:p w:rsidR="00DD1BF4" w:rsidRDefault="00DD1BF4" w:rsidP="00DD1BF4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Humanities Elective </w:t>
            </w:r>
          </w:p>
        </w:tc>
        <w:tc>
          <w:tcPr>
            <w:tcW w:w="0" w:type="auto"/>
          </w:tcPr>
          <w:p w:rsidR="00DD1BF4" w:rsidRDefault="00DD1BF4" w:rsidP="00DD1BF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D1BF4" w:rsidRDefault="00DD1BF4" w:rsidP="00DD1BF4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Humanities Elective </w:t>
            </w:r>
          </w:p>
        </w:tc>
        <w:tc>
          <w:tcPr>
            <w:tcW w:w="1398" w:type="dxa"/>
          </w:tcPr>
          <w:p w:rsidR="00DD1BF4" w:rsidRDefault="00DD1BF4" w:rsidP="00DD1BF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</w:t>
      </w: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B57099" w:rsidRPr="00E941FB" w:rsidRDefault="00B57099" w:rsidP="00B570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4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1E7008" w:rsidRDefault="00B57099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1E7008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B57099" w:rsidRPr="001E7008" w:rsidRDefault="00B57099" w:rsidP="003210DA">
            <w:pPr>
              <w:pStyle w:val="BodyText"/>
              <w:jc w:val="center"/>
              <w:rPr>
                <w:b/>
              </w:rPr>
            </w:pPr>
            <w:r w:rsidRPr="001E7008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B57099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lastRenderedPageBreak/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04CB8" w:rsidRDefault="00B57099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B57099" w:rsidRPr="00504CB8" w:rsidRDefault="00B57099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C763F" w:rsidRDefault="00B57099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B57099" w:rsidRPr="005C763F" w:rsidRDefault="00B57099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C763F" w:rsidRDefault="00B57099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B57099" w:rsidRPr="005C763F" w:rsidRDefault="00B57099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5C763F" w:rsidRDefault="00B57099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B57099" w:rsidRPr="005C763F" w:rsidRDefault="00B57099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B57099" w:rsidRPr="00E941FB" w:rsidTr="003210DA">
        <w:trPr>
          <w:trHeight w:val="254"/>
        </w:trPr>
        <w:tc>
          <w:tcPr>
            <w:tcW w:w="4140" w:type="dxa"/>
          </w:tcPr>
          <w:p w:rsidR="00B57099" w:rsidRPr="00E941FB" w:rsidRDefault="00B57099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B57099" w:rsidRPr="00E941FB" w:rsidRDefault="00B57099" w:rsidP="00B57099">
      <w:pPr>
        <w:jc w:val="both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Second Major Concentration (18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255"/>
      </w:tblGrid>
      <w:tr w:rsidR="00B57099" w:rsidRPr="00E941FB" w:rsidTr="003210DA">
        <w:trPr>
          <w:trHeight w:val="467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Pr="00E941FB" w:rsidRDefault="00B57099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58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B57099" w:rsidRPr="00E941FB" w:rsidTr="003210DA">
        <w:trPr>
          <w:trHeight w:val="525"/>
        </w:trPr>
        <w:tc>
          <w:tcPr>
            <w:tcW w:w="4320" w:type="dxa"/>
          </w:tcPr>
          <w:p w:rsidR="00B57099" w:rsidRDefault="00B57099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B57099" w:rsidRDefault="00B57099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B57099" w:rsidRPr="00E941FB" w:rsidRDefault="00B57099" w:rsidP="00B57099">
      <w:pPr>
        <w:jc w:val="center"/>
        <w:rPr>
          <w:b/>
          <w:sz w:val="22"/>
          <w:szCs w:val="22"/>
        </w:rPr>
      </w:pPr>
    </w:p>
    <w:p w:rsidR="00D30DB9" w:rsidRDefault="00D30DB9" w:rsidP="00B5709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7099"/>
    <w:rsid w:val="00333464"/>
    <w:rsid w:val="005463EB"/>
    <w:rsid w:val="00583857"/>
    <w:rsid w:val="005B1231"/>
    <w:rsid w:val="007507C3"/>
    <w:rsid w:val="007B1749"/>
    <w:rsid w:val="00A0547B"/>
    <w:rsid w:val="00B57099"/>
    <w:rsid w:val="00B87FDC"/>
    <w:rsid w:val="00CF7058"/>
    <w:rsid w:val="00D30DB9"/>
    <w:rsid w:val="00DD108A"/>
    <w:rsid w:val="00DD1BF4"/>
    <w:rsid w:val="00E20B19"/>
    <w:rsid w:val="00E35523"/>
    <w:rsid w:val="00ED41E1"/>
    <w:rsid w:val="00F92DF1"/>
    <w:rsid w:val="00F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7099"/>
    <w:pPr>
      <w:jc w:val="both"/>
    </w:pPr>
  </w:style>
  <w:style w:type="character" w:customStyle="1" w:styleId="BodyTextChar">
    <w:name w:val="Body Text Char"/>
    <w:basedOn w:val="DefaultParagraphFont"/>
    <w:link w:val="BodyText"/>
    <w:rsid w:val="00B570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11</cp:revision>
  <dcterms:created xsi:type="dcterms:W3CDTF">2011-03-14T16:00:00Z</dcterms:created>
  <dcterms:modified xsi:type="dcterms:W3CDTF">2011-03-14T16:13:00Z</dcterms:modified>
</cp:coreProperties>
</file>