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Sampson Community College </w:t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Technology/Management - Associate Degree Program </w:t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DF4323" w:rsidRPr="00E941FB" w:rsidRDefault="00DF4323" w:rsidP="00DF4323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9637CE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DF4323" w:rsidRPr="00E941FB" w:rsidRDefault="00DF4323" w:rsidP="00DF4323">
      <w:pPr>
        <w:jc w:val="both"/>
        <w:rPr>
          <w:b/>
          <w:sz w:val="22"/>
          <w:szCs w:val="22"/>
        </w:rPr>
      </w:pP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6"/>
        <w:gridCol w:w="1932"/>
        <w:gridCol w:w="4312"/>
        <w:gridCol w:w="1410"/>
      </w:tblGrid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1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350"/>
        </w:trPr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410" w:type="dxa"/>
          </w:tcPr>
          <w:p w:rsidR="00DF4323" w:rsidRPr="00167B76" w:rsidRDefault="00DF4323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0" w:type="auto"/>
          </w:tcPr>
          <w:p w:rsidR="00DF4323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410" w:type="dxa"/>
          </w:tcPr>
          <w:p w:rsidR="00DF4323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DF4323" w:rsidRPr="00E941FB" w:rsidRDefault="00DF4323" w:rsidP="00DF4323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>*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4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4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101 – Instructional Technology</w:t>
            </w:r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1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Pedagogy</w:t>
            </w:r>
            <w:proofErr w:type="spellEnd"/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410 – Differentiated Instruction</w:t>
            </w:r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lastRenderedPageBreak/>
              <w:t xml:space="preserve">CUIN 520 – Content Area Literacy  </w:t>
            </w:r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C763F" w:rsidRDefault="00DF4323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t>CUIN 660 – Clinical Practice In Teacher Education</w:t>
            </w:r>
          </w:p>
        </w:tc>
        <w:tc>
          <w:tcPr>
            <w:tcW w:w="5040" w:type="dxa"/>
          </w:tcPr>
          <w:p w:rsidR="00DF4323" w:rsidRPr="005C763F" w:rsidRDefault="00DF4323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C763F" w:rsidRDefault="00DF4323" w:rsidP="003210DA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DF4323" w:rsidRPr="005C763F" w:rsidRDefault="00DF4323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C763F" w:rsidRDefault="00DF4323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DF4323" w:rsidRPr="005C763F" w:rsidRDefault="00DF4323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BIOE </w:t>
            </w:r>
            <w:r w:rsidRPr="00E941FB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DF4323" w:rsidRPr="00E941FB" w:rsidRDefault="00DF4323" w:rsidP="00DF4323">
      <w:pPr>
        <w:jc w:val="both"/>
        <w:rPr>
          <w:b/>
          <w:sz w:val="22"/>
          <w:szCs w:val="22"/>
        </w:rPr>
      </w:pP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36"/>
      </w:tblGrid>
      <w:tr w:rsidR="00DF4323" w:rsidRPr="00E941FB" w:rsidTr="003210DA">
        <w:trPr>
          <w:trHeight w:val="501"/>
        </w:trPr>
        <w:tc>
          <w:tcPr>
            <w:tcW w:w="360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4336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DF4323" w:rsidRPr="00E941FB" w:rsidTr="003210DA">
        <w:trPr>
          <w:trHeight w:val="533"/>
        </w:trPr>
        <w:tc>
          <w:tcPr>
            <w:tcW w:w="3600" w:type="dxa"/>
          </w:tcPr>
          <w:p w:rsidR="00DF4323" w:rsidRPr="00E941FB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Pr="00E941FB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DF4323" w:rsidRPr="00E941FB" w:rsidTr="003210DA">
        <w:trPr>
          <w:trHeight w:val="533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DF4323" w:rsidRPr="00E941FB" w:rsidTr="003210DA">
        <w:trPr>
          <w:trHeight w:val="501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DF4323" w:rsidRPr="00E941FB" w:rsidTr="003210DA">
        <w:trPr>
          <w:trHeight w:val="533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DF4323" w:rsidRPr="00E941FB" w:rsidTr="003210DA">
        <w:trPr>
          <w:trHeight w:val="501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DF4323" w:rsidRPr="00E941FB" w:rsidTr="003210DA">
        <w:trPr>
          <w:trHeight w:val="533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F4323" w:rsidRPr="00E941FB" w:rsidRDefault="00DF4323" w:rsidP="00DF4323">
      <w:pPr>
        <w:jc w:val="center"/>
        <w:rPr>
          <w:b/>
          <w:sz w:val="22"/>
          <w:szCs w:val="22"/>
        </w:rPr>
      </w:pPr>
    </w:p>
    <w:p w:rsidR="00D30DB9" w:rsidRDefault="00D30DB9" w:rsidP="00DF4323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F4323"/>
    <w:rsid w:val="004E656E"/>
    <w:rsid w:val="005463EB"/>
    <w:rsid w:val="007B1749"/>
    <w:rsid w:val="009637CE"/>
    <w:rsid w:val="00D30DB9"/>
    <w:rsid w:val="00DD108A"/>
    <w:rsid w:val="00D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4323"/>
    <w:pPr>
      <w:jc w:val="both"/>
    </w:pPr>
  </w:style>
  <w:style w:type="character" w:customStyle="1" w:styleId="BodyTextChar">
    <w:name w:val="Body Text Char"/>
    <w:basedOn w:val="DefaultParagraphFont"/>
    <w:link w:val="BodyText"/>
    <w:rsid w:val="00DF4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Dr. Alston</cp:lastModifiedBy>
  <cp:revision>2</cp:revision>
  <dcterms:created xsi:type="dcterms:W3CDTF">2010-06-06T20:18:00Z</dcterms:created>
  <dcterms:modified xsi:type="dcterms:W3CDTF">2010-06-06T20:31:00Z</dcterms:modified>
</cp:coreProperties>
</file>